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9C8" w:rsidRPr="009E51EA" w:rsidRDefault="009519C8" w:rsidP="009519C8">
      <w:pPr>
        <w:rPr>
          <w:rFonts w:asciiTheme="majorBidi" w:hAnsiTheme="majorBidi" w:cstheme="majorBidi"/>
          <w:sz w:val="24"/>
          <w:szCs w:val="24"/>
          <w:lang w:val="tr-TR"/>
        </w:rPr>
      </w:pPr>
    </w:p>
    <w:p w:rsidR="009E51EA" w:rsidRPr="009E51EA" w:rsidRDefault="009E51EA" w:rsidP="009E51EA">
      <w:pPr>
        <w:jc w:val="center"/>
        <w:rPr>
          <w:rFonts w:asciiTheme="majorBidi" w:hAnsiTheme="majorBidi" w:cstheme="majorBidi"/>
          <w:b/>
          <w:bCs/>
          <w:color w:val="5B9BD5" w:themeColor="accent1"/>
          <w:sz w:val="28"/>
          <w:szCs w:val="28"/>
          <w:lang w:val="tr-TR"/>
        </w:rPr>
      </w:pPr>
      <w:r w:rsidRPr="009E51EA">
        <w:rPr>
          <w:rFonts w:asciiTheme="majorBidi" w:hAnsiTheme="majorBidi" w:cstheme="majorBidi"/>
          <w:b/>
          <w:bCs/>
          <w:color w:val="5B9BD5" w:themeColor="accent1"/>
          <w:sz w:val="28"/>
          <w:szCs w:val="28"/>
          <w:lang w:val="tr-TR"/>
        </w:rPr>
        <w:t>AB’nin Genelleştirilmiş Tercihler Sistemi (GTS)</w:t>
      </w:r>
    </w:p>
    <w:p w:rsidR="009E51EA" w:rsidRPr="009E51EA" w:rsidRDefault="009E51EA" w:rsidP="003166EC">
      <w:pPr>
        <w:jc w:val="center"/>
        <w:rPr>
          <w:rFonts w:asciiTheme="majorBidi" w:hAnsiTheme="majorBidi" w:cstheme="majorBidi"/>
          <w:b/>
          <w:bCs/>
          <w:color w:val="5B9BD5" w:themeColor="accent1"/>
          <w:sz w:val="28"/>
          <w:szCs w:val="28"/>
          <w:lang w:val="tr-TR"/>
        </w:rPr>
      </w:pPr>
      <w:r w:rsidRPr="009E51EA">
        <w:rPr>
          <w:rFonts w:asciiTheme="majorBidi" w:hAnsiTheme="majorBidi" w:cstheme="majorBidi"/>
          <w:b/>
          <w:bCs/>
          <w:color w:val="5B9BD5" w:themeColor="accent1"/>
          <w:sz w:val="28"/>
          <w:szCs w:val="28"/>
          <w:lang w:val="tr-TR"/>
        </w:rPr>
        <w:t>2020-2022 Yılları için Değerlendirme Sonuçları Hakkında</w:t>
      </w:r>
      <w:r w:rsidR="00F96074">
        <w:rPr>
          <w:rFonts w:asciiTheme="majorBidi" w:hAnsiTheme="majorBidi" w:cstheme="majorBidi"/>
          <w:b/>
          <w:bCs/>
          <w:color w:val="5B9BD5" w:themeColor="accent1"/>
          <w:sz w:val="28"/>
          <w:szCs w:val="28"/>
          <w:lang w:val="tr-TR"/>
        </w:rPr>
        <w:t xml:space="preserve"> Bilgi Notu</w:t>
      </w:r>
    </w:p>
    <w:p w:rsidR="009E51EA" w:rsidRPr="009E51EA" w:rsidRDefault="009E51EA" w:rsidP="009E51EA">
      <w:pPr>
        <w:jc w:val="both"/>
        <w:rPr>
          <w:rFonts w:asciiTheme="majorBidi" w:hAnsiTheme="majorBidi" w:cstheme="majorBidi"/>
          <w:sz w:val="24"/>
          <w:szCs w:val="24"/>
          <w:lang w:val="tr-TR"/>
        </w:rPr>
      </w:pPr>
    </w:p>
    <w:p w:rsidR="009519C8" w:rsidRPr="003166EC" w:rsidRDefault="009519C8" w:rsidP="009E51EA">
      <w:pPr>
        <w:jc w:val="both"/>
        <w:rPr>
          <w:rFonts w:asciiTheme="majorBidi" w:hAnsiTheme="majorBidi" w:cstheme="majorBidi"/>
          <w:sz w:val="28"/>
          <w:szCs w:val="28"/>
          <w:lang w:val="tr-TR"/>
        </w:rPr>
      </w:pPr>
      <w:r w:rsidRPr="003166EC">
        <w:rPr>
          <w:rFonts w:asciiTheme="majorBidi" w:hAnsiTheme="majorBidi" w:cstheme="majorBidi"/>
          <w:sz w:val="28"/>
          <w:szCs w:val="28"/>
          <w:lang w:val="tr-TR"/>
        </w:rPr>
        <w:t xml:space="preserve">AB’nin 2014 yılı başından itibaren uygulamaya koyduğu ve 10 yıl süreyle uygulanacak olan yeni Genelleştirilmiş Tercihler Sistemi (GTS) ve GTS+ </w:t>
      </w:r>
      <w:r w:rsidR="0092567D" w:rsidRPr="003166EC">
        <w:rPr>
          <w:rFonts w:asciiTheme="majorBidi" w:hAnsiTheme="majorBidi" w:cstheme="majorBidi"/>
          <w:sz w:val="28"/>
          <w:szCs w:val="28"/>
          <w:lang w:val="tr-TR"/>
        </w:rPr>
        <w:t>programları</w:t>
      </w:r>
      <w:r w:rsidRPr="003166EC">
        <w:rPr>
          <w:rFonts w:asciiTheme="majorBidi" w:hAnsiTheme="majorBidi" w:cstheme="majorBidi"/>
          <w:sz w:val="28"/>
          <w:szCs w:val="28"/>
          <w:lang w:val="tr-TR"/>
        </w:rPr>
        <w:t xml:space="preserve"> kapsamında, programa dahil olan ülkeler, </w:t>
      </w:r>
      <w:r w:rsidR="005B2F24" w:rsidRPr="003166EC">
        <w:rPr>
          <w:rFonts w:asciiTheme="majorBidi" w:hAnsiTheme="majorBidi" w:cstheme="majorBidi"/>
          <w:sz w:val="28"/>
          <w:szCs w:val="28"/>
          <w:lang w:val="tr-TR"/>
        </w:rPr>
        <w:t>üç yılda bir,</w:t>
      </w:r>
      <w:r w:rsidRPr="003166EC">
        <w:rPr>
          <w:rFonts w:asciiTheme="majorBidi" w:hAnsiTheme="majorBidi" w:cstheme="majorBidi"/>
          <w:sz w:val="28"/>
          <w:szCs w:val="28"/>
          <w:lang w:val="tr-TR"/>
        </w:rPr>
        <w:t xml:space="preserve"> ilgili ülkelerden gerçekleştirilen ithalat değeri ve GTS programı koşullarına uyup uymadıkları gibi çeşitli kriterlere uyu</w:t>
      </w:r>
      <w:r w:rsidR="009E51EA" w:rsidRPr="003166EC">
        <w:rPr>
          <w:rFonts w:asciiTheme="majorBidi" w:hAnsiTheme="majorBidi" w:cstheme="majorBidi"/>
          <w:sz w:val="28"/>
          <w:szCs w:val="28"/>
          <w:lang w:val="tr-TR"/>
        </w:rPr>
        <w:t>m</w:t>
      </w:r>
      <w:r w:rsidRPr="003166EC">
        <w:rPr>
          <w:rFonts w:asciiTheme="majorBidi" w:hAnsiTheme="majorBidi" w:cstheme="majorBidi"/>
          <w:sz w:val="28"/>
          <w:szCs w:val="28"/>
          <w:lang w:val="tr-TR"/>
        </w:rPr>
        <w:t xml:space="preserve"> sağlayıp sağlama</w:t>
      </w:r>
      <w:r w:rsidR="009E51EA" w:rsidRPr="003166EC">
        <w:rPr>
          <w:rFonts w:asciiTheme="majorBidi" w:hAnsiTheme="majorBidi" w:cstheme="majorBidi"/>
          <w:sz w:val="28"/>
          <w:szCs w:val="28"/>
          <w:lang w:val="tr-TR"/>
        </w:rPr>
        <w:t xml:space="preserve">dıklarına </w:t>
      </w:r>
      <w:r w:rsidRPr="003166EC">
        <w:rPr>
          <w:rFonts w:asciiTheme="majorBidi" w:hAnsiTheme="majorBidi" w:cstheme="majorBidi"/>
          <w:sz w:val="28"/>
          <w:szCs w:val="28"/>
          <w:lang w:val="tr-TR"/>
        </w:rPr>
        <w:t>göre değerlendirilmekte ve ilgili ülkelerin bir sonraki yıl program dahilinde kalıp kalmayacakları</w:t>
      </w:r>
      <w:r w:rsidR="005B2F24" w:rsidRPr="003166EC">
        <w:rPr>
          <w:rFonts w:asciiTheme="majorBidi" w:hAnsiTheme="majorBidi" w:cstheme="majorBidi"/>
          <w:sz w:val="28"/>
          <w:szCs w:val="28"/>
          <w:lang w:val="tr-TR"/>
        </w:rPr>
        <w:t xml:space="preserve">na </w:t>
      </w:r>
      <w:r w:rsidR="009E51EA" w:rsidRPr="003166EC">
        <w:rPr>
          <w:rFonts w:asciiTheme="majorBidi" w:hAnsiTheme="majorBidi" w:cstheme="majorBidi"/>
          <w:sz w:val="28"/>
          <w:szCs w:val="28"/>
          <w:lang w:val="tr-TR"/>
        </w:rPr>
        <w:t xml:space="preserve">dair </w:t>
      </w:r>
      <w:r w:rsidR="005B2F24" w:rsidRPr="003166EC">
        <w:rPr>
          <w:rFonts w:asciiTheme="majorBidi" w:hAnsiTheme="majorBidi" w:cstheme="majorBidi"/>
          <w:sz w:val="28"/>
          <w:szCs w:val="28"/>
          <w:lang w:val="tr-TR"/>
        </w:rPr>
        <w:t xml:space="preserve">AB Komisyonu tarafından karar verilmektedir. </w:t>
      </w:r>
      <w:r w:rsidRPr="003166EC">
        <w:rPr>
          <w:rFonts w:asciiTheme="majorBidi" w:hAnsiTheme="majorBidi" w:cstheme="majorBidi"/>
          <w:sz w:val="28"/>
          <w:szCs w:val="28"/>
          <w:lang w:val="tr-TR"/>
        </w:rPr>
        <w:t xml:space="preserve">  </w:t>
      </w:r>
    </w:p>
    <w:p w:rsidR="009519C8" w:rsidRPr="003166EC" w:rsidRDefault="009519C8" w:rsidP="009E51EA">
      <w:pPr>
        <w:jc w:val="both"/>
        <w:rPr>
          <w:rFonts w:asciiTheme="majorBidi" w:hAnsiTheme="majorBidi" w:cstheme="majorBidi"/>
          <w:sz w:val="28"/>
          <w:szCs w:val="28"/>
          <w:lang w:val="tr-TR"/>
        </w:rPr>
      </w:pPr>
    </w:p>
    <w:p w:rsidR="009519C8" w:rsidRPr="003166EC" w:rsidRDefault="009E51EA" w:rsidP="009E51EA">
      <w:pPr>
        <w:jc w:val="both"/>
        <w:rPr>
          <w:rFonts w:asciiTheme="majorBidi" w:hAnsiTheme="majorBidi" w:cstheme="majorBidi"/>
          <w:sz w:val="28"/>
          <w:szCs w:val="28"/>
          <w:lang w:val="tr-TR"/>
        </w:rPr>
      </w:pPr>
      <w:r w:rsidRPr="003166EC">
        <w:rPr>
          <w:rFonts w:asciiTheme="majorBidi" w:hAnsiTheme="majorBidi" w:cstheme="majorBidi"/>
          <w:sz w:val="28"/>
          <w:szCs w:val="28"/>
          <w:lang w:val="tr-TR"/>
        </w:rPr>
        <w:t xml:space="preserve">Anılan mevzuata göre </w:t>
      </w:r>
      <w:r w:rsidR="008108F1" w:rsidRPr="003166EC">
        <w:rPr>
          <w:rFonts w:asciiTheme="majorBidi" w:hAnsiTheme="majorBidi" w:cstheme="majorBidi"/>
          <w:sz w:val="28"/>
          <w:szCs w:val="28"/>
          <w:lang w:val="tr-TR"/>
        </w:rPr>
        <w:t xml:space="preserve">GTS programı kapsamında yer alan bir ülkenin tekstil ve </w:t>
      </w:r>
      <w:proofErr w:type="spellStart"/>
      <w:r w:rsidR="008108F1" w:rsidRPr="003166EC">
        <w:rPr>
          <w:rFonts w:asciiTheme="majorBidi" w:hAnsiTheme="majorBidi" w:cstheme="majorBidi"/>
          <w:sz w:val="28"/>
          <w:szCs w:val="28"/>
          <w:lang w:val="tr-TR"/>
        </w:rPr>
        <w:t>hazırgiyim</w:t>
      </w:r>
      <w:proofErr w:type="spellEnd"/>
      <w:r w:rsidR="008108F1" w:rsidRPr="003166EC">
        <w:rPr>
          <w:rFonts w:asciiTheme="majorBidi" w:hAnsiTheme="majorBidi" w:cstheme="majorBidi"/>
          <w:sz w:val="28"/>
          <w:szCs w:val="28"/>
          <w:lang w:val="tr-TR"/>
        </w:rPr>
        <w:t xml:space="preserve"> ürünlerinde programdan çıkarılması aşağıdaki koşullarda mümkün olabilmektedir:</w:t>
      </w:r>
    </w:p>
    <w:p w:rsidR="008108F1" w:rsidRPr="003166EC" w:rsidRDefault="008108F1" w:rsidP="009E51EA">
      <w:pPr>
        <w:jc w:val="both"/>
        <w:rPr>
          <w:rFonts w:asciiTheme="majorBidi" w:hAnsiTheme="majorBidi" w:cstheme="majorBidi"/>
          <w:sz w:val="28"/>
          <w:szCs w:val="28"/>
          <w:lang w:val="tr-TR"/>
        </w:rPr>
      </w:pPr>
    </w:p>
    <w:p w:rsidR="008108F1" w:rsidRPr="003166EC" w:rsidRDefault="008108F1" w:rsidP="00444091">
      <w:pPr>
        <w:pStyle w:val="ListParagraph"/>
        <w:numPr>
          <w:ilvl w:val="0"/>
          <w:numId w:val="1"/>
        </w:numPr>
        <w:ind w:left="0" w:firstLine="360"/>
        <w:jc w:val="both"/>
        <w:rPr>
          <w:rFonts w:asciiTheme="majorBidi" w:hAnsiTheme="majorBidi" w:cstheme="majorBidi"/>
          <w:sz w:val="28"/>
          <w:szCs w:val="28"/>
          <w:lang w:val="tr-TR"/>
        </w:rPr>
      </w:pPr>
      <w:r w:rsidRPr="003166EC">
        <w:rPr>
          <w:rFonts w:asciiTheme="majorBidi" w:hAnsiTheme="majorBidi" w:cstheme="majorBidi"/>
          <w:sz w:val="28"/>
          <w:szCs w:val="28"/>
          <w:lang w:val="tr-TR"/>
        </w:rPr>
        <w:t xml:space="preserve">İlgili ülkenin </w:t>
      </w:r>
      <w:r w:rsidR="005B2F24" w:rsidRPr="003166EC">
        <w:rPr>
          <w:rFonts w:asciiTheme="majorBidi" w:hAnsiTheme="majorBidi" w:cstheme="majorBidi"/>
          <w:sz w:val="28"/>
          <w:szCs w:val="28"/>
          <w:lang w:val="tr-TR"/>
        </w:rPr>
        <w:t xml:space="preserve">son üç yılda </w:t>
      </w:r>
      <w:r w:rsidRPr="003166EC">
        <w:rPr>
          <w:rFonts w:asciiTheme="majorBidi" w:hAnsiTheme="majorBidi" w:cstheme="majorBidi"/>
          <w:sz w:val="28"/>
          <w:szCs w:val="28"/>
          <w:lang w:val="tr-TR"/>
        </w:rPr>
        <w:t xml:space="preserve">AB-dışı ithalattaki payının %6’yı geçmesi </w:t>
      </w:r>
    </w:p>
    <w:p w:rsidR="008108F1" w:rsidRPr="00444091" w:rsidRDefault="009E51EA" w:rsidP="00444091">
      <w:pPr>
        <w:jc w:val="both"/>
        <w:rPr>
          <w:rFonts w:asciiTheme="majorBidi" w:hAnsiTheme="majorBidi" w:cstheme="majorBidi"/>
          <w:sz w:val="28"/>
          <w:szCs w:val="28"/>
          <w:lang w:val="tr-TR"/>
        </w:rPr>
      </w:pPr>
      <w:proofErr w:type="gramStart"/>
      <w:r w:rsidRPr="00444091">
        <w:rPr>
          <w:rFonts w:asciiTheme="majorBidi" w:hAnsiTheme="majorBidi" w:cstheme="majorBidi"/>
          <w:sz w:val="28"/>
          <w:szCs w:val="28"/>
          <w:lang w:val="tr-TR"/>
        </w:rPr>
        <w:t>v</w:t>
      </w:r>
      <w:r w:rsidR="008108F1" w:rsidRPr="00444091">
        <w:rPr>
          <w:rFonts w:asciiTheme="majorBidi" w:hAnsiTheme="majorBidi" w:cstheme="majorBidi"/>
          <w:sz w:val="28"/>
          <w:szCs w:val="28"/>
          <w:lang w:val="tr-TR"/>
        </w:rPr>
        <w:t>e</w:t>
      </w:r>
      <w:proofErr w:type="gramEnd"/>
    </w:p>
    <w:p w:rsidR="008108F1" w:rsidRPr="003166EC" w:rsidRDefault="008108F1" w:rsidP="00444091">
      <w:pPr>
        <w:pStyle w:val="ListParagraph"/>
        <w:numPr>
          <w:ilvl w:val="0"/>
          <w:numId w:val="1"/>
        </w:numPr>
        <w:ind w:left="0" w:firstLine="360"/>
        <w:jc w:val="both"/>
        <w:rPr>
          <w:rFonts w:asciiTheme="majorBidi" w:hAnsiTheme="majorBidi" w:cstheme="majorBidi"/>
          <w:sz w:val="28"/>
          <w:szCs w:val="28"/>
          <w:lang w:val="tr-TR"/>
        </w:rPr>
      </w:pPr>
      <w:r w:rsidRPr="003166EC">
        <w:rPr>
          <w:rFonts w:asciiTheme="majorBidi" w:hAnsiTheme="majorBidi" w:cstheme="majorBidi"/>
          <w:sz w:val="28"/>
          <w:szCs w:val="28"/>
          <w:lang w:val="tr-TR"/>
        </w:rPr>
        <w:t xml:space="preserve">İlgili ülkeden GTS kapsamında yapılan AB-dışı ithalatın miktar bazında bir önceki yıla göre %13,5 oranında artması </w:t>
      </w:r>
      <w:r w:rsidRPr="003166EC">
        <w:rPr>
          <w:rFonts w:asciiTheme="majorBidi" w:hAnsiTheme="majorBidi" w:cstheme="majorBidi"/>
          <w:sz w:val="28"/>
          <w:szCs w:val="28"/>
          <w:u w:val="single"/>
          <w:lang w:val="tr-TR"/>
        </w:rPr>
        <w:t>veya</w:t>
      </w:r>
      <w:r w:rsidRPr="003166EC">
        <w:rPr>
          <w:rFonts w:asciiTheme="majorBidi" w:hAnsiTheme="majorBidi" w:cstheme="majorBidi"/>
          <w:sz w:val="28"/>
          <w:szCs w:val="28"/>
          <w:lang w:val="tr-TR"/>
        </w:rPr>
        <w:t xml:space="preserve"> GTS kapsamında son 12 ay içinde yapılan toplam ithalatta ilgili ülkenin payının %47,2’si geçmesi</w:t>
      </w:r>
      <w:r w:rsidR="003166EC">
        <w:rPr>
          <w:rFonts w:asciiTheme="majorBidi" w:hAnsiTheme="majorBidi" w:cstheme="majorBidi"/>
          <w:sz w:val="28"/>
          <w:szCs w:val="28"/>
          <w:lang w:val="tr-TR"/>
        </w:rPr>
        <w:t>.</w:t>
      </w:r>
      <w:r w:rsidRPr="003166EC">
        <w:rPr>
          <w:rFonts w:asciiTheme="majorBidi" w:hAnsiTheme="majorBidi" w:cstheme="majorBidi"/>
          <w:sz w:val="28"/>
          <w:szCs w:val="28"/>
          <w:lang w:val="tr-TR"/>
        </w:rPr>
        <w:t xml:space="preserve">     </w:t>
      </w:r>
    </w:p>
    <w:p w:rsidR="008108F1" w:rsidRPr="003166EC" w:rsidRDefault="008108F1" w:rsidP="009E51EA">
      <w:pPr>
        <w:jc w:val="both"/>
        <w:rPr>
          <w:rFonts w:asciiTheme="majorBidi" w:hAnsiTheme="majorBidi" w:cstheme="majorBidi"/>
          <w:sz w:val="28"/>
          <w:szCs w:val="28"/>
          <w:lang w:val="tr-TR"/>
        </w:rPr>
      </w:pPr>
    </w:p>
    <w:p w:rsidR="009519C8" w:rsidRPr="003166EC" w:rsidRDefault="009519C8" w:rsidP="009E51EA">
      <w:pPr>
        <w:jc w:val="both"/>
        <w:rPr>
          <w:rFonts w:asciiTheme="majorBidi" w:hAnsiTheme="majorBidi" w:cstheme="majorBidi"/>
          <w:sz w:val="28"/>
          <w:szCs w:val="28"/>
          <w:lang w:val="tr-TR"/>
        </w:rPr>
      </w:pPr>
      <w:r w:rsidRPr="003166EC">
        <w:rPr>
          <w:rFonts w:asciiTheme="majorBidi" w:hAnsiTheme="majorBidi" w:cstheme="majorBidi"/>
          <w:sz w:val="28"/>
          <w:szCs w:val="28"/>
          <w:lang w:val="tr-TR"/>
        </w:rPr>
        <w:t>AB</w:t>
      </w:r>
      <w:r w:rsidR="005B2F24" w:rsidRPr="003166EC">
        <w:rPr>
          <w:rFonts w:asciiTheme="majorBidi" w:hAnsiTheme="majorBidi" w:cstheme="majorBidi"/>
          <w:sz w:val="28"/>
          <w:szCs w:val="28"/>
          <w:lang w:val="tr-TR"/>
        </w:rPr>
        <w:t xml:space="preserve"> Komisyonu, 2020-2022 yılları için </w:t>
      </w:r>
      <w:r w:rsidR="009E51EA" w:rsidRPr="003166EC">
        <w:rPr>
          <w:rFonts w:asciiTheme="majorBidi" w:hAnsiTheme="majorBidi" w:cstheme="majorBidi"/>
          <w:sz w:val="28"/>
          <w:szCs w:val="28"/>
          <w:lang w:val="tr-TR"/>
        </w:rPr>
        <w:t xml:space="preserve">Hindistan ile Sri Lanka’nın GTS programında ve </w:t>
      </w:r>
      <w:r w:rsidRPr="003166EC">
        <w:rPr>
          <w:rFonts w:asciiTheme="majorBidi" w:hAnsiTheme="majorBidi" w:cstheme="majorBidi"/>
          <w:sz w:val="28"/>
          <w:szCs w:val="28"/>
          <w:lang w:val="tr-TR"/>
        </w:rPr>
        <w:t>Pakistan</w:t>
      </w:r>
      <w:r w:rsidR="00C84A9F" w:rsidRPr="003166EC">
        <w:rPr>
          <w:rFonts w:asciiTheme="majorBidi" w:hAnsiTheme="majorBidi" w:cstheme="majorBidi"/>
          <w:sz w:val="28"/>
          <w:szCs w:val="28"/>
          <w:lang w:val="tr-TR"/>
        </w:rPr>
        <w:t xml:space="preserve">’ın </w:t>
      </w:r>
      <w:r w:rsidR="00444091">
        <w:rPr>
          <w:rFonts w:asciiTheme="majorBidi" w:hAnsiTheme="majorBidi" w:cstheme="majorBidi"/>
          <w:sz w:val="28"/>
          <w:szCs w:val="28"/>
          <w:lang w:val="tr-TR"/>
        </w:rPr>
        <w:t xml:space="preserve">ise </w:t>
      </w:r>
      <w:r w:rsidR="00C84A9F" w:rsidRPr="003166EC">
        <w:rPr>
          <w:rFonts w:asciiTheme="majorBidi" w:hAnsiTheme="majorBidi" w:cstheme="majorBidi"/>
          <w:sz w:val="28"/>
          <w:szCs w:val="28"/>
          <w:lang w:val="tr-TR"/>
        </w:rPr>
        <w:t xml:space="preserve">GTS+ programında </w:t>
      </w:r>
      <w:r w:rsidRPr="003166EC">
        <w:rPr>
          <w:rFonts w:asciiTheme="majorBidi" w:hAnsiTheme="majorBidi" w:cstheme="majorBidi"/>
          <w:sz w:val="28"/>
          <w:szCs w:val="28"/>
          <w:lang w:val="tr-TR"/>
        </w:rPr>
        <w:t xml:space="preserve">kalıp kalmamasına yönelik bir değerlendirme yaparak, </w:t>
      </w:r>
      <w:r w:rsidR="009E51EA" w:rsidRPr="003166EC">
        <w:rPr>
          <w:rFonts w:asciiTheme="majorBidi" w:hAnsiTheme="majorBidi" w:cstheme="majorBidi"/>
          <w:sz w:val="28"/>
          <w:szCs w:val="28"/>
          <w:lang w:val="tr-TR"/>
        </w:rPr>
        <w:t>aşağıdaki kararları almıştır:</w:t>
      </w:r>
      <w:r w:rsidRPr="003166EC">
        <w:rPr>
          <w:rFonts w:asciiTheme="majorBidi" w:hAnsiTheme="majorBidi" w:cstheme="majorBidi"/>
          <w:sz w:val="28"/>
          <w:szCs w:val="28"/>
          <w:lang w:val="tr-TR"/>
        </w:rPr>
        <w:t xml:space="preserve">  </w:t>
      </w:r>
    </w:p>
    <w:p w:rsidR="009E51EA" w:rsidRPr="003166EC" w:rsidRDefault="009E51EA" w:rsidP="009E51EA">
      <w:pPr>
        <w:jc w:val="both"/>
        <w:rPr>
          <w:rFonts w:asciiTheme="majorBidi" w:hAnsiTheme="majorBidi" w:cstheme="majorBidi"/>
          <w:sz w:val="28"/>
          <w:szCs w:val="28"/>
          <w:lang w:val="tr-TR"/>
        </w:rPr>
      </w:pPr>
    </w:p>
    <w:p w:rsidR="00C84A9F" w:rsidRPr="00444091" w:rsidRDefault="00444091" w:rsidP="00444091">
      <w:pPr>
        <w:pStyle w:val="ListParagraph"/>
        <w:numPr>
          <w:ilvl w:val="0"/>
          <w:numId w:val="1"/>
        </w:numPr>
        <w:ind w:left="0" w:firstLine="360"/>
        <w:jc w:val="both"/>
        <w:rPr>
          <w:rFonts w:asciiTheme="majorBidi" w:hAnsiTheme="majorBidi" w:cstheme="majorBidi"/>
          <w:sz w:val="28"/>
          <w:szCs w:val="28"/>
          <w:lang w:val="tr-TR"/>
        </w:rPr>
      </w:pPr>
      <w:r w:rsidRPr="00444091">
        <w:rPr>
          <w:rFonts w:asciiTheme="majorBidi" w:hAnsiTheme="majorBidi" w:cstheme="majorBidi"/>
          <w:sz w:val="28"/>
          <w:szCs w:val="28"/>
          <w:lang w:val="tr-TR"/>
        </w:rPr>
        <w:t xml:space="preserve">Anılan </w:t>
      </w:r>
      <w:r w:rsidR="009519C8" w:rsidRPr="00444091">
        <w:rPr>
          <w:rFonts w:asciiTheme="majorBidi" w:hAnsiTheme="majorBidi" w:cstheme="majorBidi"/>
          <w:sz w:val="28"/>
          <w:szCs w:val="28"/>
          <w:lang w:val="tr-TR"/>
        </w:rPr>
        <w:t>G</w:t>
      </w:r>
      <w:r w:rsidRPr="00444091">
        <w:rPr>
          <w:rFonts w:asciiTheme="majorBidi" w:hAnsiTheme="majorBidi" w:cstheme="majorBidi"/>
          <w:sz w:val="28"/>
          <w:szCs w:val="28"/>
          <w:lang w:val="tr-TR"/>
        </w:rPr>
        <w:t>TS</w:t>
      </w:r>
      <w:r w:rsidR="009519C8" w:rsidRPr="00444091">
        <w:rPr>
          <w:rFonts w:asciiTheme="majorBidi" w:hAnsiTheme="majorBidi" w:cstheme="majorBidi"/>
          <w:sz w:val="28"/>
          <w:szCs w:val="28"/>
          <w:lang w:val="tr-TR"/>
        </w:rPr>
        <w:t xml:space="preserve"> yönetmeliği uyarınca, Hindistan'ın </w:t>
      </w:r>
      <w:r w:rsidR="00C84A9F" w:rsidRPr="00444091">
        <w:rPr>
          <w:rFonts w:asciiTheme="majorBidi" w:hAnsiTheme="majorBidi" w:cstheme="majorBidi"/>
          <w:sz w:val="28"/>
          <w:szCs w:val="28"/>
          <w:lang w:val="tr-TR"/>
        </w:rPr>
        <w:t xml:space="preserve">tekstil ürünlerinde AB-dışı </w:t>
      </w:r>
      <w:r w:rsidR="009519C8" w:rsidRPr="00444091">
        <w:rPr>
          <w:rFonts w:asciiTheme="majorBidi" w:hAnsiTheme="majorBidi" w:cstheme="majorBidi"/>
          <w:sz w:val="28"/>
          <w:szCs w:val="28"/>
          <w:lang w:val="tr-TR"/>
        </w:rPr>
        <w:t>ithalat</w:t>
      </w:r>
      <w:r w:rsidR="00C84A9F" w:rsidRPr="00444091">
        <w:rPr>
          <w:rFonts w:asciiTheme="majorBidi" w:hAnsiTheme="majorBidi" w:cstheme="majorBidi"/>
          <w:sz w:val="28"/>
          <w:szCs w:val="28"/>
          <w:lang w:val="tr-TR"/>
        </w:rPr>
        <w:t>taki</w:t>
      </w:r>
      <w:r w:rsidR="009519C8" w:rsidRPr="00444091">
        <w:rPr>
          <w:rFonts w:asciiTheme="majorBidi" w:hAnsiTheme="majorBidi" w:cstheme="majorBidi"/>
          <w:sz w:val="28"/>
          <w:szCs w:val="28"/>
          <w:lang w:val="tr-TR"/>
        </w:rPr>
        <w:t xml:space="preserve"> payının </w:t>
      </w:r>
      <w:r w:rsidR="00C84A9F" w:rsidRPr="00444091">
        <w:rPr>
          <w:rFonts w:asciiTheme="majorBidi" w:hAnsiTheme="majorBidi" w:cstheme="majorBidi"/>
          <w:sz w:val="28"/>
          <w:szCs w:val="28"/>
          <w:lang w:val="tr-TR"/>
        </w:rPr>
        <w:t xml:space="preserve">ilgili eşik değeri olan %6’yı </w:t>
      </w:r>
      <w:r w:rsidR="009519C8" w:rsidRPr="00444091">
        <w:rPr>
          <w:rFonts w:asciiTheme="majorBidi" w:hAnsiTheme="majorBidi" w:cstheme="majorBidi"/>
          <w:sz w:val="28"/>
          <w:szCs w:val="28"/>
          <w:lang w:val="tr-TR"/>
        </w:rPr>
        <w:t xml:space="preserve">aşması nedeniyle, </w:t>
      </w:r>
      <w:r w:rsidR="00C84A9F" w:rsidRPr="00444091">
        <w:rPr>
          <w:rFonts w:asciiTheme="majorBidi" w:hAnsiTheme="majorBidi" w:cstheme="majorBidi"/>
          <w:sz w:val="28"/>
          <w:szCs w:val="28"/>
          <w:lang w:val="tr-TR"/>
        </w:rPr>
        <w:t>2017-</w:t>
      </w:r>
      <w:r w:rsidR="009519C8" w:rsidRPr="00444091">
        <w:rPr>
          <w:rFonts w:asciiTheme="majorBidi" w:hAnsiTheme="majorBidi" w:cstheme="majorBidi"/>
          <w:sz w:val="28"/>
          <w:szCs w:val="28"/>
          <w:lang w:val="tr-TR"/>
        </w:rPr>
        <w:t xml:space="preserve">2019 yılları </w:t>
      </w:r>
      <w:r w:rsidR="00C84A9F" w:rsidRPr="00444091">
        <w:rPr>
          <w:rFonts w:asciiTheme="majorBidi" w:hAnsiTheme="majorBidi" w:cstheme="majorBidi"/>
          <w:sz w:val="28"/>
          <w:szCs w:val="28"/>
          <w:lang w:val="tr-TR"/>
        </w:rPr>
        <w:t xml:space="preserve">için bu ülkeden yapılan tekstil ürünleri ithalatında </w:t>
      </w:r>
      <w:r w:rsidR="00807E40" w:rsidRPr="00444091">
        <w:rPr>
          <w:rFonts w:asciiTheme="majorBidi" w:hAnsiTheme="majorBidi" w:cstheme="majorBidi"/>
          <w:sz w:val="28"/>
          <w:szCs w:val="28"/>
          <w:lang w:val="tr-TR"/>
        </w:rPr>
        <w:t xml:space="preserve">askıya alınmış olan </w:t>
      </w:r>
      <w:r w:rsidR="00C84A9F" w:rsidRPr="00444091">
        <w:rPr>
          <w:rFonts w:asciiTheme="majorBidi" w:hAnsiTheme="majorBidi" w:cstheme="majorBidi"/>
          <w:sz w:val="28"/>
          <w:szCs w:val="28"/>
          <w:lang w:val="tr-TR"/>
        </w:rPr>
        <w:t xml:space="preserve">GTS programı uygulamasının </w:t>
      </w:r>
      <w:r w:rsidR="00807E40" w:rsidRPr="00444091">
        <w:rPr>
          <w:rFonts w:asciiTheme="majorBidi" w:hAnsiTheme="majorBidi" w:cstheme="majorBidi"/>
          <w:sz w:val="28"/>
          <w:szCs w:val="28"/>
          <w:lang w:val="tr-TR"/>
        </w:rPr>
        <w:t>2020-2022 yılları için de devam etmesine;</w:t>
      </w:r>
      <w:r w:rsidR="00C84A9F" w:rsidRPr="00444091">
        <w:rPr>
          <w:rFonts w:asciiTheme="majorBidi" w:hAnsiTheme="majorBidi" w:cstheme="majorBidi"/>
          <w:sz w:val="28"/>
          <w:szCs w:val="28"/>
          <w:lang w:val="tr-TR"/>
        </w:rPr>
        <w:t xml:space="preserve">  </w:t>
      </w:r>
    </w:p>
    <w:p w:rsidR="00C84A9F" w:rsidRPr="003166EC" w:rsidRDefault="00C84A9F" w:rsidP="00444091">
      <w:pPr>
        <w:ind w:firstLine="360"/>
        <w:jc w:val="both"/>
        <w:rPr>
          <w:rFonts w:asciiTheme="majorBidi" w:hAnsiTheme="majorBidi" w:cstheme="majorBidi"/>
          <w:sz w:val="28"/>
          <w:szCs w:val="28"/>
          <w:lang w:val="tr-TR"/>
        </w:rPr>
      </w:pPr>
    </w:p>
    <w:p w:rsidR="00C84A9F" w:rsidRPr="00444091" w:rsidRDefault="00C84A9F" w:rsidP="00444091">
      <w:pPr>
        <w:pStyle w:val="ListParagraph"/>
        <w:numPr>
          <w:ilvl w:val="0"/>
          <w:numId w:val="1"/>
        </w:numPr>
        <w:ind w:left="0" w:firstLine="360"/>
        <w:jc w:val="both"/>
        <w:rPr>
          <w:rFonts w:asciiTheme="majorBidi" w:hAnsiTheme="majorBidi" w:cstheme="majorBidi"/>
          <w:sz w:val="28"/>
          <w:szCs w:val="28"/>
          <w:lang w:val="tr-TR"/>
        </w:rPr>
      </w:pPr>
      <w:r w:rsidRPr="00444091">
        <w:rPr>
          <w:rFonts w:asciiTheme="majorBidi" w:hAnsiTheme="majorBidi" w:cstheme="majorBidi"/>
          <w:sz w:val="28"/>
          <w:szCs w:val="28"/>
          <w:lang w:val="tr-TR"/>
        </w:rPr>
        <w:t>Öte yandan, Sri Lanka ve Pakistan için GTS+ yönetmeliği uyarınca ilgili eşik değerinde bir artış kaydedilmediği için bu ülkelerin</w:t>
      </w:r>
      <w:r w:rsidR="005B2F24" w:rsidRPr="00444091">
        <w:rPr>
          <w:rFonts w:asciiTheme="majorBidi" w:hAnsiTheme="majorBidi" w:cstheme="majorBidi"/>
          <w:sz w:val="28"/>
          <w:szCs w:val="28"/>
          <w:lang w:val="tr-TR"/>
        </w:rPr>
        <w:t xml:space="preserve"> 2020-2022 yılları için</w:t>
      </w:r>
      <w:r w:rsidRPr="00444091">
        <w:rPr>
          <w:rFonts w:asciiTheme="majorBidi" w:hAnsiTheme="majorBidi" w:cstheme="majorBidi"/>
          <w:sz w:val="28"/>
          <w:szCs w:val="28"/>
          <w:lang w:val="tr-TR"/>
        </w:rPr>
        <w:t xml:space="preserve"> GTS+ programı</w:t>
      </w:r>
      <w:r w:rsidR="00252A19" w:rsidRPr="00444091">
        <w:rPr>
          <w:rFonts w:asciiTheme="majorBidi" w:hAnsiTheme="majorBidi" w:cstheme="majorBidi"/>
          <w:sz w:val="28"/>
          <w:szCs w:val="28"/>
          <w:lang w:val="tr-TR"/>
        </w:rPr>
        <w:t xml:space="preserve">ndan faydalanmaya devam etmeleri yönünde karar alınmıştır. </w:t>
      </w:r>
      <w:r w:rsidRPr="00444091">
        <w:rPr>
          <w:rFonts w:asciiTheme="majorBidi" w:hAnsiTheme="majorBidi" w:cstheme="majorBidi"/>
          <w:sz w:val="28"/>
          <w:szCs w:val="28"/>
          <w:lang w:val="tr-TR"/>
        </w:rPr>
        <w:t xml:space="preserve"> </w:t>
      </w:r>
    </w:p>
    <w:p w:rsidR="009E51EA" w:rsidRPr="003166EC" w:rsidRDefault="009E51EA" w:rsidP="009E51EA">
      <w:pPr>
        <w:jc w:val="both"/>
        <w:rPr>
          <w:rFonts w:asciiTheme="majorBidi" w:hAnsiTheme="majorBidi" w:cstheme="majorBidi"/>
          <w:sz w:val="28"/>
          <w:szCs w:val="28"/>
          <w:lang w:val="tr-TR"/>
        </w:rPr>
      </w:pPr>
    </w:p>
    <w:p w:rsidR="009E51EA" w:rsidRPr="003166EC" w:rsidRDefault="009E51EA" w:rsidP="009E51EA">
      <w:pPr>
        <w:jc w:val="both"/>
        <w:rPr>
          <w:rFonts w:asciiTheme="majorBidi" w:hAnsiTheme="majorBidi" w:cstheme="majorBidi"/>
          <w:sz w:val="28"/>
          <w:szCs w:val="28"/>
          <w:lang w:val="tr-TR"/>
        </w:rPr>
      </w:pPr>
      <w:r w:rsidRPr="003166EC">
        <w:rPr>
          <w:rFonts w:asciiTheme="majorBidi" w:hAnsiTheme="majorBidi" w:cstheme="majorBidi"/>
          <w:sz w:val="28"/>
          <w:szCs w:val="28"/>
          <w:lang w:val="tr-TR"/>
        </w:rPr>
        <w:t>Alınan bu karar</w:t>
      </w:r>
      <w:r w:rsidR="003166EC">
        <w:rPr>
          <w:rFonts w:asciiTheme="majorBidi" w:hAnsiTheme="majorBidi" w:cstheme="majorBidi"/>
          <w:sz w:val="28"/>
          <w:szCs w:val="28"/>
          <w:lang w:val="tr-TR"/>
        </w:rPr>
        <w:t>lar</w:t>
      </w:r>
      <w:r w:rsidRPr="003166EC">
        <w:rPr>
          <w:rFonts w:asciiTheme="majorBidi" w:hAnsiTheme="majorBidi" w:cstheme="majorBidi"/>
          <w:sz w:val="28"/>
          <w:szCs w:val="28"/>
          <w:lang w:val="tr-TR"/>
        </w:rPr>
        <w:t xml:space="preserve"> doğrultusunda mevcut uygulamada herhangi bir değişiklik yapılmamış olup, AB’nin Hindistan’dan tekstil ürünleri ithalatında tam gümrük vergileri ile ve diğer ürünlerde indirimli gümrük vergileri, Sri Lanka ile Pakistan’dan ise gümrük vergisiz ithalat imkanı 2022 yılı sonuna kadar devam edecektir.</w:t>
      </w:r>
    </w:p>
    <w:p w:rsidR="005B2F24" w:rsidRPr="003166EC" w:rsidRDefault="005B2F24" w:rsidP="009E51EA">
      <w:pPr>
        <w:jc w:val="both"/>
        <w:rPr>
          <w:rFonts w:asciiTheme="majorBidi" w:hAnsiTheme="majorBidi" w:cstheme="majorBidi"/>
          <w:sz w:val="28"/>
          <w:szCs w:val="28"/>
          <w:lang w:val="tr-TR"/>
        </w:rPr>
      </w:pPr>
    </w:p>
    <w:p w:rsidR="003166EC" w:rsidRPr="003166EC" w:rsidRDefault="005B2F24" w:rsidP="003166EC">
      <w:pPr>
        <w:jc w:val="both"/>
        <w:rPr>
          <w:rFonts w:asciiTheme="majorBidi" w:hAnsiTheme="majorBidi" w:cstheme="majorBidi"/>
          <w:sz w:val="28"/>
          <w:szCs w:val="28"/>
          <w:lang w:val="tr-TR"/>
        </w:rPr>
      </w:pPr>
      <w:r w:rsidRPr="003166EC">
        <w:rPr>
          <w:rFonts w:asciiTheme="majorBidi" w:hAnsiTheme="majorBidi" w:cstheme="majorBidi"/>
          <w:sz w:val="28"/>
          <w:szCs w:val="28"/>
          <w:lang w:val="tr-TR"/>
        </w:rPr>
        <w:lastRenderedPageBreak/>
        <w:t xml:space="preserve">Bu çerçevede, </w:t>
      </w:r>
      <w:r w:rsidR="000954B5" w:rsidRPr="003166EC">
        <w:rPr>
          <w:rFonts w:asciiTheme="majorBidi" w:hAnsiTheme="majorBidi" w:cstheme="majorBidi"/>
          <w:sz w:val="28"/>
          <w:szCs w:val="28"/>
          <w:lang w:val="tr-TR"/>
        </w:rPr>
        <w:t xml:space="preserve">AB’nin GTS ve GTS+ programlarında yer alan ülkeler için </w:t>
      </w:r>
      <w:r w:rsidR="00533014" w:rsidRPr="003166EC">
        <w:rPr>
          <w:rFonts w:asciiTheme="majorBidi" w:hAnsiTheme="majorBidi" w:cstheme="majorBidi"/>
          <w:sz w:val="28"/>
          <w:szCs w:val="28"/>
          <w:lang w:val="tr-TR"/>
        </w:rPr>
        <w:t xml:space="preserve">hariç sektörleri ve bu ülkelere yönelik Türkiye’nin uygulamasını gösteren </w:t>
      </w:r>
      <w:r w:rsidR="00444091">
        <w:rPr>
          <w:rFonts w:asciiTheme="majorBidi" w:hAnsiTheme="majorBidi" w:cstheme="majorBidi"/>
          <w:sz w:val="28"/>
          <w:szCs w:val="28"/>
          <w:lang w:val="tr-TR"/>
        </w:rPr>
        <w:t xml:space="preserve">güncel </w:t>
      </w:r>
      <w:r w:rsidR="00533014" w:rsidRPr="003166EC">
        <w:rPr>
          <w:rFonts w:asciiTheme="majorBidi" w:hAnsiTheme="majorBidi" w:cstheme="majorBidi"/>
          <w:sz w:val="28"/>
          <w:szCs w:val="28"/>
          <w:lang w:val="tr-TR"/>
        </w:rPr>
        <w:t>tablo aşağıda yer almaktadır:</w:t>
      </w:r>
    </w:p>
    <w:p w:rsidR="003166EC" w:rsidRPr="009E51EA" w:rsidRDefault="003166EC" w:rsidP="009E51EA">
      <w:pPr>
        <w:jc w:val="both"/>
        <w:rPr>
          <w:rFonts w:asciiTheme="majorBidi" w:hAnsiTheme="majorBidi" w:cstheme="majorBidi"/>
          <w:sz w:val="24"/>
          <w:szCs w:val="24"/>
          <w:lang w:val="tr-TR"/>
        </w:rPr>
      </w:pPr>
    </w:p>
    <w:tbl>
      <w:tblPr>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373"/>
        <w:gridCol w:w="1130"/>
        <w:gridCol w:w="1770"/>
        <w:gridCol w:w="2452"/>
        <w:gridCol w:w="2317"/>
      </w:tblGrid>
      <w:tr w:rsidR="003166EC" w:rsidRPr="000F1ED2" w:rsidTr="003166EC">
        <w:trPr>
          <w:trHeight w:val="20"/>
        </w:trPr>
        <w:tc>
          <w:tcPr>
            <w:tcW w:w="5000" w:type="pct"/>
            <w:gridSpan w:val="5"/>
            <w:shd w:val="clear" w:color="auto" w:fill="auto"/>
            <w:vAlign w:val="center"/>
            <w:hideMark/>
          </w:tcPr>
          <w:p w:rsidR="003166EC" w:rsidRPr="000F1ED2" w:rsidRDefault="003166EC" w:rsidP="003166EC">
            <w:pPr>
              <w:jc w:val="center"/>
              <w:rPr>
                <w:rFonts w:asciiTheme="majorBidi" w:hAnsiTheme="majorBidi" w:cstheme="majorBidi"/>
                <w:b/>
                <w:bCs/>
                <w:color w:val="5B9BD5" w:themeColor="accent1"/>
                <w:sz w:val="26"/>
                <w:szCs w:val="26"/>
                <w:lang w:val="tr-TR" w:eastAsia="en-GB"/>
              </w:rPr>
            </w:pPr>
          </w:p>
          <w:p w:rsidR="003166EC" w:rsidRPr="000F1ED2" w:rsidRDefault="00533014" w:rsidP="003166EC">
            <w:pPr>
              <w:jc w:val="center"/>
              <w:rPr>
                <w:rFonts w:asciiTheme="majorBidi" w:hAnsiTheme="majorBidi" w:cstheme="majorBidi"/>
                <w:b/>
                <w:bCs/>
                <w:color w:val="5B9BD5" w:themeColor="accent1"/>
                <w:sz w:val="26"/>
                <w:szCs w:val="26"/>
                <w:lang w:val="tr-TR" w:eastAsia="en-GB"/>
              </w:rPr>
            </w:pPr>
            <w:r w:rsidRPr="000F1ED2">
              <w:rPr>
                <w:rFonts w:asciiTheme="majorBidi" w:hAnsiTheme="majorBidi" w:cstheme="majorBidi"/>
                <w:b/>
                <w:bCs/>
                <w:color w:val="5B9BD5" w:themeColor="accent1"/>
                <w:sz w:val="26"/>
                <w:szCs w:val="26"/>
                <w:lang w:val="tr-TR" w:eastAsia="en-GB"/>
              </w:rPr>
              <w:t xml:space="preserve">AB'nin GTS ve GTS+ Programlarında Yer Alan Ülkeler ve </w:t>
            </w:r>
          </w:p>
          <w:p w:rsidR="003166EC" w:rsidRPr="000F1ED2" w:rsidRDefault="00533014" w:rsidP="003166EC">
            <w:pPr>
              <w:jc w:val="center"/>
              <w:rPr>
                <w:rFonts w:asciiTheme="majorBidi" w:hAnsiTheme="majorBidi" w:cstheme="majorBidi"/>
                <w:b/>
                <w:bCs/>
                <w:color w:val="5B9BD5" w:themeColor="accent1"/>
                <w:sz w:val="26"/>
                <w:szCs w:val="26"/>
                <w:lang w:val="tr-TR" w:eastAsia="en-GB"/>
              </w:rPr>
            </w:pPr>
            <w:r w:rsidRPr="000F1ED2">
              <w:rPr>
                <w:rFonts w:asciiTheme="majorBidi" w:hAnsiTheme="majorBidi" w:cstheme="majorBidi"/>
                <w:b/>
                <w:bCs/>
                <w:color w:val="5B9BD5" w:themeColor="accent1"/>
                <w:sz w:val="26"/>
                <w:szCs w:val="26"/>
                <w:lang w:val="tr-TR" w:eastAsia="en-GB"/>
              </w:rPr>
              <w:t xml:space="preserve">Türkiye'nin </w:t>
            </w:r>
            <w:r w:rsidR="003166EC" w:rsidRPr="000F1ED2">
              <w:rPr>
                <w:rFonts w:asciiTheme="majorBidi" w:hAnsiTheme="majorBidi" w:cstheme="majorBidi"/>
                <w:b/>
                <w:bCs/>
                <w:color w:val="5B9BD5" w:themeColor="accent1"/>
                <w:sz w:val="26"/>
                <w:szCs w:val="26"/>
                <w:lang w:val="tr-TR" w:eastAsia="en-GB"/>
              </w:rPr>
              <w:t xml:space="preserve">Bu Ülkelere Yönelik Dış Ticaret Rejimi </w:t>
            </w:r>
            <w:r w:rsidRPr="000F1ED2">
              <w:rPr>
                <w:rFonts w:asciiTheme="majorBidi" w:hAnsiTheme="majorBidi" w:cstheme="majorBidi"/>
                <w:b/>
                <w:bCs/>
                <w:color w:val="5B9BD5" w:themeColor="accent1"/>
                <w:sz w:val="26"/>
                <w:szCs w:val="26"/>
                <w:lang w:val="tr-TR" w:eastAsia="en-GB"/>
              </w:rPr>
              <w:t xml:space="preserve">Uygulaması </w:t>
            </w:r>
          </w:p>
          <w:p w:rsidR="003166EC" w:rsidRPr="000F1ED2" w:rsidRDefault="003166EC" w:rsidP="003166EC">
            <w:pPr>
              <w:jc w:val="center"/>
              <w:rPr>
                <w:rFonts w:asciiTheme="majorBidi" w:hAnsiTheme="majorBidi" w:cstheme="majorBidi"/>
                <w:b/>
                <w:bCs/>
                <w:color w:val="5B9BD5" w:themeColor="accent1"/>
                <w:sz w:val="26"/>
                <w:szCs w:val="26"/>
                <w:lang w:val="tr-TR" w:eastAsia="en-GB"/>
              </w:rPr>
            </w:pPr>
          </w:p>
          <w:p w:rsidR="009E51EA" w:rsidRPr="000F1ED2" w:rsidRDefault="009E51EA" w:rsidP="00533014">
            <w:pPr>
              <w:jc w:val="center"/>
              <w:rPr>
                <w:rFonts w:asciiTheme="majorBidi" w:hAnsiTheme="majorBidi" w:cstheme="majorBidi"/>
                <w:b/>
                <w:bCs/>
                <w:color w:val="5B9BD5" w:themeColor="accent1"/>
                <w:sz w:val="26"/>
                <w:szCs w:val="26"/>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jc w:val="center"/>
              <w:rPr>
                <w:rFonts w:asciiTheme="majorBidi" w:hAnsiTheme="majorBidi" w:cstheme="majorBidi"/>
                <w:b/>
                <w:bCs/>
                <w:color w:val="000000"/>
                <w:sz w:val="22"/>
                <w:szCs w:val="22"/>
                <w:lang w:val="tr-TR" w:eastAsia="en-GB"/>
              </w:rPr>
            </w:pPr>
            <w:r w:rsidRPr="003166EC">
              <w:rPr>
                <w:rFonts w:asciiTheme="majorBidi" w:hAnsiTheme="majorBidi" w:cstheme="majorBidi"/>
                <w:b/>
                <w:bCs/>
                <w:color w:val="000000"/>
                <w:sz w:val="22"/>
                <w:szCs w:val="22"/>
                <w:lang w:val="tr-TR" w:eastAsia="en-GB"/>
              </w:rPr>
              <w:t>Ülkeler</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b/>
                <w:bCs/>
                <w:color w:val="000000"/>
                <w:sz w:val="22"/>
                <w:szCs w:val="22"/>
                <w:lang w:val="tr-TR" w:eastAsia="en-GB"/>
              </w:rPr>
            </w:pPr>
            <w:r w:rsidRPr="003166EC">
              <w:rPr>
                <w:rFonts w:asciiTheme="majorBidi" w:hAnsiTheme="majorBidi" w:cstheme="majorBidi"/>
                <w:b/>
                <w:bCs/>
                <w:color w:val="000000"/>
                <w:sz w:val="22"/>
                <w:szCs w:val="22"/>
                <w:lang w:val="tr-TR" w:eastAsia="en-GB"/>
              </w:rPr>
              <w:t>AB GTS durumu</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b/>
                <w:bCs/>
                <w:color w:val="000000"/>
                <w:sz w:val="22"/>
                <w:szCs w:val="22"/>
                <w:lang w:val="tr-TR" w:eastAsia="en-GB"/>
              </w:rPr>
            </w:pPr>
            <w:r w:rsidRPr="003166EC">
              <w:rPr>
                <w:rFonts w:asciiTheme="majorBidi" w:hAnsiTheme="majorBidi" w:cstheme="majorBidi"/>
                <w:b/>
                <w:bCs/>
                <w:color w:val="000000"/>
                <w:sz w:val="22"/>
                <w:szCs w:val="22"/>
                <w:lang w:val="tr-TR" w:eastAsia="en-GB"/>
              </w:rPr>
              <w:t xml:space="preserve">2017-2019 ve 2020-2022 </w:t>
            </w:r>
            <w:r w:rsidR="003166EC">
              <w:rPr>
                <w:rFonts w:asciiTheme="majorBidi" w:hAnsiTheme="majorBidi" w:cstheme="majorBidi"/>
                <w:b/>
                <w:bCs/>
                <w:color w:val="000000"/>
                <w:sz w:val="22"/>
                <w:szCs w:val="22"/>
                <w:lang w:val="tr-TR" w:eastAsia="en-GB"/>
              </w:rPr>
              <w:t xml:space="preserve">dönemi </w:t>
            </w:r>
            <w:r w:rsidRPr="003166EC">
              <w:rPr>
                <w:rFonts w:asciiTheme="majorBidi" w:hAnsiTheme="majorBidi" w:cstheme="majorBidi"/>
                <w:b/>
                <w:bCs/>
                <w:color w:val="000000"/>
                <w:sz w:val="22"/>
                <w:szCs w:val="22"/>
                <w:lang w:val="tr-TR" w:eastAsia="en-GB"/>
              </w:rPr>
              <w:t>için sektörlerimizin hariç olma durumu</w:t>
            </w:r>
          </w:p>
        </w:tc>
        <w:tc>
          <w:tcPr>
            <w:tcW w:w="1356" w:type="pct"/>
            <w:shd w:val="clear" w:color="auto" w:fill="auto"/>
            <w:vAlign w:val="center"/>
            <w:hideMark/>
          </w:tcPr>
          <w:p w:rsidR="00533014" w:rsidRPr="003166EC" w:rsidRDefault="003166EC" w:rsidP="00533014">
            <w:pPr>
              <w:jc w:val="center"/>
              <w:rPr>
                <w:rFonts w:asciiTheme="majorBidi" w:hAnsiTheme="majorBidi" w:cstheme="majorBidi"/>
                <w:b/>
                <w:bCs/>
                <w:color w:val="000000"/>
                <w:sz w:val="22"/>
                <w:szCs w:val="22"/>
                <w:lang w:val="tr-TR" w:eastAsia="en-GB"/>
              </w:rPr>
            </w:pPr>
            <w:r>
              <w:rPr>
                <w:rFonts w:asciiTheme="majorBidi" w:hAnsiTheme="majorBidi" w:cstheme="majorBidi"/>
                <w:b/>
                <w:bCs/>
                <w:color w:val="000000"/>
                <w:sz w:val="22"/>
                <w:szCs w:val="22"/>
                <w:lang w:val="tr-TR" w:eastAsia="en-GB"/>
              </w:rPr>
              <w:t>Ülkemizin Uyguladığı Dış Ticaret Rejimi</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b/>
                <w:bCs/>
                <w:color w:val="000000"/>
                <w:sz w:val="22"/>
                <w:szCs w:val="22"/>
                <w:lang w:val="tr-TR" w:eastAsia="en-GB"/>
              </w:rPr>
            </w:pPr>
            <w:r w:rsidRPr="003166EC">
              <w:rPr>
                <w:rFonts w:asciiTheme="majorBidi" w:hAnsiTheme="majorBidi" w:cstheme="majorBidi"/>
                <w:b/>
                <w:bCs/>
                <w:color w:val="000000"/>
                <w:sz w:val="22"/>
                <w:szCs w:val="22"/>
                <w:lang w:val="tr-TR" w:eastAsia="en-GB"/>
              </w:rPr>
              <w:t xml:space="preserve">2019 </w:t>
            </w:r>
            <w:r w:rsidR="003166EC" w:rsidRPr="003166EC">
              <w:rPr>
                <w:rFonts w:asciiTheme="majorBidi" w:hAnsiTheme="majorBidi" w:cstheme="majorBidi"/>
                <w:b/>
                <w:bCs/>
                <w:color w:val="000000"/>
                <w:sz w:val="22"/>
                <w:szCs w:val="22"/>
                <w:lang w:val="tr-TR" w:eastAsia="en-GB"/>
              </w:rPr>
              <w:t xml:space="preserve">yılı </w:t>
            </w:r>
            <w:r w:rsidRPr="003166EC">
              <w:rPr>
                <w:rFonts w:asciiTheme="majorBidi" w:hAnsiTheme="majorBidi" w:cstheme="majorBidi"/>
                <w:b/>
                <w:bCs/>
                <w:color w:val="000000"/>
                <w:sz w:val="22"/>
                <w:szCs w:val="22"/>
                <w:lang w:val="tr-TR" w:eastAsia="en-GB"/>
              </w:rPr>
              <w:t>için sektörlerimizin hariç olma durumu</w:t>
            </w: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Bolivya</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Özel Teşvik Ülkesi</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Cape Verde</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Özel Teşvik Ülkesi</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proofErr w:type="spellStart"/>
            <w:r w:rsidRPr="003166EC">
              <w:rPr>
                <w:rFonts w:asciiTheme="majorBidi" w:hAnsiTheme="majorBidi" w:cstheme="majorBidi"/>
                <w:color w:val="000000"/>
                <w:sz w:val="22"/>
                <w:szCs w:val="22"/>
                <w:lang w:val="tr-TR" w:eastAsia="en-GB"/>
              </w:rPr>
              <w:t>Cook</w:t>
            </w:r>
            <w:proofErr w:type="spellEnd"/>
            <w:r w:rsidRPr="003166EC">
              <w:rPr>
                <w:rFonts w:asciiTheme="majorBidi" w:hAnsiTheme="majorBidi" w:cstheme="majorBidi"/>
                <w:color w:val="000000"/>
                <w:sz w:val="22"/>
                <w:szCs w:val="22"/>
                <w:lang w:val="tr-TR" w:eastAsia="en-GB"/>
              </w:rPr>
              <w:t xml:space="preserve"> Adaları</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Endonezya</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Üçüncü Ülke</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 xml:space="preserve">Ermenistan </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Üçüncü Ülke</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Fildişi Sahilleri</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Üçüncü Ülke</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Filipinler</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Gana</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Üçüncü Ülke</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Hindistan</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S11a (tekstil)</w:t>
            </w: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Üçüncü Ülke</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Kenya</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Kırgızistan</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 xml:space="preserve">Kongo </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Mikronezya</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Moğolistan</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Özel Teşvik Ülkesi</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Nauru</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Nijerya</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Niue</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Özbekistan</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Pakistan</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S11a (tekstil); S11b (konfeksiyon)</w:t>
            </w: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Paraguay</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Üçüncü Ülke</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Sri Lanka</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S11b (konfeksiyon)</w:t>
            </w: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Suriye</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STA (askıya alındı)</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Svaziland</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Üçüncü Ülke</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3166EC"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Tacikistan</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Tonga</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r w:rsidR="00533014" w:rsidRPr="003166EC" w:rsidTr="003166EC">
        <w:trPr>
          <w:trHeight w:val="20"/>
        </w:trPr>
        <w:tc>
          <w:tcPr>
            <w:tcW w:w="759" w:type="pct"/>
            <w:shd w:val="clear" w:color="auto" w:fill="auto"/>
            <w:vAlign w:val="center"/>
            <w:hideMark/>
          </w:tcPr>
          <w:p w:rsidR="00533014" w:rsidRPr="003166EC" w:rsidRDefault="00533014" w:rsidP="00533014">
            <w:pP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Vietnam</w:t>
            </w:r>
          </w:p>
        </w:tc>
        <w:tc>
          <w:tcPr>
            <w:tcW w:w="625"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GTS</w:t>
            </w:r>
          </w:p>
        </w:tc>
        <w:tc>
          <w:tcPr>
            <w:tcW w:w="979"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c>
          <w:tcPr>
            <w:tcW w:w="1356"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r w:rsidRPr="003166EC">
              <w:rPr>
                <w:rFonts w:asciiTheme="majorBidi" w:hAnsiTheme="majorBidi" w:cstheme="majorBidi"/>
                <w:color w:val="000000"/>
                <w:sz w:val="22"/>
                <w:szCs w:val="22"/>
                <w:lang w:val="tr-TR" w:eastAsia="en-GB"/>
              </w:rPr>
              <w:t>Üçüncü Ülke</w:t>
            </w:r>
          </w:p>
        </w:tc>
        <w:tc>
          <w:tcPr>
            <w:tcW w:w="1281" w:type="pct"/>
            <w:shd w:val="clear" w:color="auto" w:fill="auto"/>
            <w:vAlign w:val="center"/>
            <w:hideMark/>
          </w:tcPr>
          <w:p w:rsidR="00533014" w:rsidRPr="003166EC" w:rsidRDefault="00533014" w:rsidP="00533014">
            <w:pPr>
              <w:jc w:val="center"/>
              <w:rPr>
                <w:rFonts w:asciiTheme="majorBidi" w:hAnsiTheme="majorBidi" w:cstheme="majorBidi"/>
                <w:color w:val="000000"/>
                <w:sz w:val="22"/>
                <w:szCs w:val="22"/>
                <w:lang w:val="tr-TR" w:eastAsia="en-GB"/>
              </w:rPr>
            </w:pPr>
          </w:p>
        </w:tc>
      </w:tr>
    </w:tbl>
    <w:p w:rsidR="003166EC" w:rsidRDefault="003166EC" w:rsidP="009519C8">
      <w:pPr>
        <w:rPr>
          <w:rFonts w:asciiTheme="majorBidi" w:hAnsiTheme="majorBidi" w:cstheme="majorBidi"/>
          <w:b/>
          <w:bCs/>
          <w:sz w:val="24"/>
          <w:szCs w:val="24"/>
          <w:lang w:val="tr-TR"/>
        </w:rPr>
      </w:pPr>
    </w:p>
    <w:p w:rsidR="003166EC" w:rsidRDefault="003166EC" w:rsidP="009519C8">
      <w:pPr>
        <w:rPr>
          <w:rFonts w:asciiTheme="majorBidi" w:hAnsiTheme="majorBidi" w:cstheme="majorBidi"/>
          <w:b/>
          <w:bCs/>
          <w:sz w:val="24"/>
          <w:szCs w:val="24"/>
          <w:lang w:val="tr-TR"/>
        </w:rPr>
      </w:pPr>
    </w:p>
    <w:p w:rsidR="00533014" w:rsidRPr="00444091" w:rsidRDefault="00533014" w:rsidP="009519C8">
      <w:pPr>
        <w:rPr>
          <w:rFonts w:asciiTheme="majorBidi" w:hAnsiTheme="majorBidi" w:cstheme="majorBidi"/>
          <w:b/>
          <w:bCs/>
          <w:sz w:val="28"/>
          <w:szCs w:val="28"/>
          <w:lang w:val="tr-TR"/>
        </w:rPr>
      </w:pPr>
      <w:r w:rsidRPr="00444091">
        <w:rPr>
          <w:rFonts w:asciiTheme="majorBidi" w:hAnsiTheme="majorBidi" w:cstheme="majorBidi"/>
          <w:b/>
          <w:bCs/>
          <w:sz w:val="28"/>
          <w:szCs w:val="28"/>
          <w:lang w:val="tr-TR"/>
        </w:rPr>
        <w:t xml:space="preserve">Bilgileri arz </w:t>
      </w:r>
      <w:r w:rsidR="0062240D">
        <w:rPr>
          <w:rFonts w:asciiTheme="majorBidi" w:hAnsiTheme="majorBidi" w:cstheme="majorBidi"/>
          <w:b/>
          <w:bCs/>
          <w:sz w:val="28"/>
          <w:szCs w:val="28"/>
          <w:lang w:val="tr-TR"/>
        </w:rPr>
        <w:t xml:space="preserve">ve rica </w:t>
      </w:r>
      <w:bookmarkStart w:id="0" w:name="_GoBack"/>
      <w:bookmarkEnd w:id="0"/>
      <w:r w:rsidRPr="00444091">
        <w:rPr>
          <w:rFonts w:asciiTheme="majorBidi" w:hAnsiTheme="majorBidi" w:cstheme="majorBidi"/>
          <w:b/>
          <w:bCs/>
          <w:sz w:val="28"/>
          <w:szCs w:val="28"/>
          <w:lang w:val="tr-TR"/>
        </w:rPr>
        <w:t>olunur.</w:t>
      </w:r>
    </w:p>
    <w:p w:rsidR="00C84A9F" w:rsidRPr="00444091" w:rsidRDefault="009E51EA" w:rsidP="009519C8">
      <w:pPr>
        <w:rPr>
          <w:rFonts w:asciiTheme="majorBidi" w:hAnsiTheme="majorBidi" w:cstheme="majorBidi"/>
          <w:b/>
          <w:bCs/>
          <w:sz w:val="28"/>
          <w:szCs w:val="28"/>
          <w:lang w:val="tr-TR"/>
        </w:rPr>
      </w:pPr>
      <w:proofErr w:type="spellStart"/>
      <w:r w:rsidRPr="00444091">
        <w:rPr>
          <w:rFonts w:asciiTheme="majorBidi" w:hAnsiTheme="majorBidi" w:cstheme="majorBidi"/>
          <w:b/>
          <w:bCs/>
          <w:sz w:val="28"/>
          <w:szCs w:val="28"/>
          <w:lang w:val="tr-TR"/>
        </w:rPr>
        <w:t>Hazırgiyim</w:t>
      </w:r>
      <w:proofErr w:type="spellEnd"/>
      <w:r w:rsidRPr="00444091">
        <w:rPr>
          <w:rFonts w:asciiTheme="majorBidi" w:hAnsiTheme="majorBidi" w:cstheme="majorBidi"/>
          <w:b/>
          <w:bCs/>
          <w:sz w:val="28"/>
          <w:szCs w:val="28"/>
          <w:lang w:val="tr-TR"/>
        </w:rPr>
        <w:t xml:space="preserve"> ve </w:t>
      </w:r>
      <w:r w:rsidR="00533014" w:rsidRPr="00444091">
        <w:rPr>
          <w:rFonts w:asciiTheme="majorBidi" w:hAnsiTheme="majorBidi" w:cstheme="majorBidi"/>
          <w:b/>
          <w:bCs/>
          <w:sz w:val="28"/>
          <w:szCs w:val="28"/>
          <w:lang w:val="tr-TR"/>
        </w:rPr>
        <w:t>Konfeksiyon ARGE Şubesi</w:t>
      </w:r>
    </w:p>
    <w:p w:rsidR="003166EC" w:rsidRPr="00444091" w:rsidRDefault="003166EC" w:rsidP="009519C8">
      <w:pPr>
        <w:rPr>
          <w:rFonts w:asciiTheme="majorBidi" w:hAnsiTheme="majorBidi" w:cstheme="majorBidi"/>
          <w:b/>
          <w:bCs/>
          <w:sz w:val="28"/>
          <w:szCs w:val="28"/>
          <w:lang w:val="tr-TR"/>
        </w:rPr>
      </w:pPr>
      <w:r w:rsidRPr="00444091">
        <w:rPr>
          <w:rFonts w:asciiTheme="majorBidi" w:hAnsiTheme="majorBidi" w:cstheme="majorBidi"/>
          <w:b/>
          <w:bCs/>
          <w:sz w:val="28"/>
          <w:szCs w:val="28"/>
          <w:lang w:val="tr-TR"/>
        </w:rPr>
        <w:t>18 Şubat 2019 Pazartesi</w:t>
      </w:r>
    </w:p>
    <w:sectPr w:rsidR="003166EC" w:rsidRPr="00444091" w:rsidSect="00A80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37346"/>
    <w:multiLevelType w:val="hybridMultilevel"/>
    <w:tmpl w:val="7BF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C8"/>
    <w:rsid w:val="000954B5"/>
    <w:rsid w:val="000F1ED2"/>
    <w:rsid w:val="00252A19"/>
    <w:rsid w:val="003166EC"/>
    <w:rsid w:val="00444091"/>
    <w:rsid w:val="00450B03"/>
    <w:rsid w:val="00533014"/>
    <w:rsid w:val="005B2F24"/>
    <w:rsid w:val="0062240D"/>
    <w:rsid w:val="00807E40"/>
    <w:rsid w:val="008108F1"/>
    <w:rsid w:val="0092567D"/>
    <w:rsid w:val="009519C8"/>
    <w:rsid w:val="00966C91"/>
    <w:rsid w:val="009E51EA"/>
    <w:rsid w:val="00A80F20"/>
    <w:rsid w:val="00BF226E"/>
    <w:rsid w:val="00C84A9F"/>
    <w:rsid w:val="00F828D2"/>
    <w:rsid w:val="00F96074"/>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0FC4"/>
  <w15:chartTrackingRefBased/>
  <w15:docId w15:val="{C1AD9DFA-2AE1-4470-A499-7B8355F5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9C8"/>
    <w:pPr>
      <w:spacing w:after="0" w:line="240" w:lineRule="auto"/>
    </w:pPr>
    <w:rPr>
      <w:rFonts w:asci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13779">
      <w:bodyDiv w:val="1"/>
      <w:marLeft w:val="0"/>
      <w:marRight w:val="0"/>
      <w:marTop w:val="0"/>
      <w:marBottom w:val="0"/>
      <w:divBdr>
        <w:top w:val="none" w:sz="0" w:space="0" w:color="auto"/>
        <w:left w:val="none" w:sz="0" w:space="0" w:color="auto"/>
        <w:bottom w:val="none" w:sz="0" w:space="0" w:color="auto"/>
        <w:right w:val="none" w:sz="0" w:space="0" w:color="auto"/>
      </w:divBdr>
    </w:div>
    <w:div w:id="4751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Guner</dc:creator>
  <cp:keywords/>
  <dc:description/>
  <cp:lastModifiedBy>Hulya Guner</cp:lastModifiedBy>
  <cp:revision>10</cp:revision>
  <dcterms:created xsi:type="dcterms:W3CDTF">2019-02-18T08:06:00Z</dcterms:created>
  <dcterms:modified xsi:type="dcterms:W3CDTF">2019-02-18T13:11:00Z</dcterms:modified>
</cp:coreProperties>
</file>