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BA" w:rsidRPr="003D59BA" w:rsidRDefault="003D59BA" w:rsidP="003D59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</w:pP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Government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br/>
        <w:t xml:space="preserve">of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June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25, 2026 No. 785</w:t>
      </w:r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br/>
        <w:t xml:space="preserve">"On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introduction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of a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temporary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ban on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export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certain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br/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types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tr-TR"/>
        </w:rPr>
        <w:t>"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proofErr w:type="spellStart"/>
      <w:proofErr w:type="gram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accordance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with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begin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instrText xml:space="preserve"> HYPERLINK "https://www.alta.ru/tamdoc/14bn0044/" \l "st29" \o "Agreement No. 1 of May 29, 2014 International document on the establishment of the Eurasian Economic Union" </w:instrText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separate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u w:val="single"/>
          <w:lang w:eastAsia="tr-TR"/>
        </w:rPr>
        <w:t>Articles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u w:val="single"/>
          <w:lang w:eastAsia="tr-TR"/>
        </w:rPr>
        <w:t xml:space="preserve"> 29</w:t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end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hyperlink r:id="rId6" w:anchor="st47" w:tooltip="Agreement No. 1 of May 29, 2014 International document on the establishment of the Eurasian Economic Union" w:history="1">
        <w:r w:rsidRPr="003D59BA">
          <w:rPr>
            <w:rFonts w:ascii="Times New Roman" w:eastAsia="Times New Roman" w:hAnsi="Times New Roman" w:cs="Times New Roman"/>
            <w:color w:val="4D4D4D"/>
            <w:sz w:val="24"/>
            <w:szCs w:val="24"/>
            <w:u w:val="single"/>
            <w:lang w:eastAsia="tr-TR"/>
          </w:rPr>
          <w:t>47</w:t>
        </w:r>
      </w:hyperlink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 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Treaty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Eurasian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Economic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Union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May 29, 2014, 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begin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instrText xml:space="preserve"> HYPERLINK "https://www.alta.ru/tamdoc/14bn0044/" \l "pril7" \o "Agreement No. 1 of May 29, 2014 International document on the establishment of the Eurasian Economic Union" </w:instrText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separate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u w:val="single"/>
          <w:lang w:eastAsia="tr-TR"/>
        </w:rPr>
        <w:t>Appendix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u w:val="single"/>
          <w:lang w:eastAsia="tr-TR"/>
        </w:rPr>
        <w:t xml:space="preserve"> No. 7</w:t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end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said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Treaty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paragraph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1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2 of 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begin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instrText xml:space="preserve"> HYPERLINK "https://www.alta.ru/tamdoc/03fz0164/" \o "Federal Law 164-FZ of December 8, 2003 of the State Duma of the Russian Federation On the Regulation of Foreign Trade Activities" </w:instrText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separate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u w:val="single"/>
          <w:lang w:eastAsia="tr-TR"/>
        </w:rPr>
        <w:t>Article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u w:val="single"/>
          <w:lang w:eastAsia="tr-TR"/>
        </w:rPr>
        <w:t xml:space="preserve"> 21</w:t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fldChar w:fldCharType="end"/>
      </w: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 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Federal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Law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"On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Fundamentals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State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Regulation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Foreign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Trade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Activity"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in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order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ensure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food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security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Government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DECIDES:</w:t>
      </w:r>
      <w:proofErr w:type="gramEnd"/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1.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Establish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temporary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ban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July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1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December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31, 2026,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export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liquid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granulated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lump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(EAEU TN VED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codes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hyperlink r:id="rId7" w:history="1">
        <w:r w:rsidRPr="003D59B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tr-TR"/>
          </w:rPr>
          <w:t>2503 00 100 0</w:t>
        </w:r>
      </w:hyperlink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hyperlink r:id="rId8" w:history="1">
        <w:r w:rsidRPr="003D59BA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tr-TR"/>
          </w:rPr>
          <w:t>2503 00 900 0</w:t>
        </w:r>
      </w:hyperlink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  <w:bookmarkStart w:id="0" w:name="_GoBack"/>
      <w:bookmarkEnd w:id="0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) (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hereinafter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referred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as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).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2.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temporary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ban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specified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in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paragraph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1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does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not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apply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: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a)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exported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member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states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Eurasian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Economic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Union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as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well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as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Republic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Abkhazia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Republic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South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Ossetia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;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b)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exported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provide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international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humanitarian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aid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foreign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states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basis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decisions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Government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;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proofErr w:type="gram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c)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exported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as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international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transit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shipments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beginning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ending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outside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as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well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as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transported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between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parts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through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territories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foreign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states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(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)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transported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between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parts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customs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Eurasian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Economic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Union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sea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transport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without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calling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at a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foreign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port;</w:t>
      </w:r>
      <w:proofErr w:type="gramEnd"/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d)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exported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purpose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ensuring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activities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organizations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Svalbard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archipelago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;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proofErr w:type="gram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d)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sulfur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placed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before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date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entry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force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under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customs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procedures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permitting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its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export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from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customs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territory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Eurasian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Economic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Union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which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before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date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entry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force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was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accepted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open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joint-stock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company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Railways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carriage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(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)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transportation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which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before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date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entry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force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order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loading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onto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a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sea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vessel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was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issued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.</w:t>
      </w:r>
      <w:proofErr w:type="gramEnd"/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3.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Ministry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Economic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Development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shall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in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accordance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with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established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procedure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,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notify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Eurasian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Economic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Commission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introduction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temporary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ban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specified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in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paragraph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1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.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4.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Federal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Customs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Service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shall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ensure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control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over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implementation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provisions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paragraphs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1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and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2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.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5.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This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resolution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shall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enter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into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force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day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following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day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its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official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publication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.</w:t>
      </w:r>
    </w:p>
    <w:p w:rsidR="003D59BA" w:rsidRPr="003D59BA" w:rsidRDefault="003D59BA" w:rsidP="003D5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 </w:t>
      </w:r>
    </w:p>
    <w:p w:rsidR="003D59BA" w:rsidRPr="003D59BA" w:rsidRDefault="003D59BA" w:rsidP="003D5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</w:pP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Chairman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Government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br/>
        <w:t xml:space="preserve">of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the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 xml:space="preserve"> Russian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Federation</w:t>
      </w:r>
      <w:proofErr w:type="spellEnd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br/>
        <w:t xml:space="preserve">M. </w:t>
      </w:r>
      <w:proofErr w:type="spellStart"/>
      <w:r w:rsidRPr="003D59BA">
        <w:rPr>
          <w:rFonts w:ascii="Times New Roman" w:eastAsia="Times New Roman" w:hAnsi="Times New Roman" w:cs="Times New Roman"/>
          <w:color w:val="4D4D4D"/>
          <w:sz w:val="24"/>
          <w:szCs w:val="24"/>
          <w:lang w:eastAsia="tr-TR"/>
        </w:rPr>
        <w:t>Mishustin</w:t>
      </w:r>
      <w:proofErr w:type="spellEnd"/>
    </w:p>
    <w:p w:rsidR="00305A63" w:rsidRPr="003D59BA" w:rsidRDefault="00305A63">
      <w:pPr>
        <w:rPr>
          <w:rFonts w:ascii="Times New Roman" w:hAnsi="Times New Roman" w:cs="Times New Roman"/>
          <w:sz w:val="24"/>
          <w:szCs w:val="24"/>
        </w:rPr>
      </w:pPr>
    </w:p>
    <w:sectPr w:rsidR="00305A63" w:rsidRPr="003D59BA" w:rsidSect="003D59BA">
      <w:headerReference w:type="default" r:id="rId9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EA" w:rsidRDefault="00B83DEA" w:rsidP="003D59BA">
      <w:pPr>
        <w:spacing w:after="0" w:line="240" w:lineRule="auto"/>
      </w:pPr>
      <w:r>
        <w:separator/>
      </w:r>
    </w:p>
  </w:endnote>
  <w:endnote w:type="continuationSeparator" w:id="0">
    <w:p w:rsidR="00B83DEA" w:rsidRDefault="00B83DEA" w:rsidP="003D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EA" w:rsidRDefault="00B83DEA" w:rsidP="003D59BA">
      <w:pPr>
        <w:spacing w:after="0" w:line="240" w:lineRule="auto"/>
      </w:pPr>
      <w:r>
        <w:separator/>
      </w:r>
    </w:p>
  </w:footnote>
  <w:footnote w:type="continuationSeparator" w:id="0">
    <w:p w:rsidR="00B83DEA" w:rsidRDefault="00B83DEA" w:rsidP="003D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BA" w:rsidRPr="003D59BA" w:rsidRDefault="003D59BA" w:rsidP="003D59BA">
    <w:pPr>
      <w:pStyle w:val="stBilgi"/>
      <w:jc w:val="right"/>
      <w:rPr>
        <w:rFonts w:ascii="Times New Roman" w:hAnsi="Times New Roman" w:cs="Times New Roman"/>
        <w:i/>
      </w:rPr>
    </w:pPr>
    <w:r w:rsidRPr="003D59BA">
      <w:rPr>
        <w:rFonts w:ascii="Times New Roman" w:hAnsi="Times New Roman" w:cs="Times New Roman"/>
        <w:i/>
      </w:rPr>
      <w:t>Gayri resmi Tercüme</w:t>
    </w:r>
  </w:p>
  <w:p w:rsidR="003D59BA" w:rsidRDefault="003D59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BA"/>
    <w:rsid w:val="00305A63"/>
    <w:rsid w:val="003D59BA"/>
    <w:rsid w:val="00B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AE65"/>
  <w15:chartTrackingRefBased/>
  <w15:docId w15:val="{BA329A32-F042-45A4-8B72-E4E433D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5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59B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D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D59B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D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9BA"/>
  </w:style>
  <w:style w:type="paragraph" w:styleId="AltBilgi">
    <w:name w:val="footer"/>
    <w:basedOn w:val="Normal"/>
    <w:link w:val="AltBilgiChar"/>
    <w:uiPriority w:val="99"/>
    <w:unhideWhenUsed/>
    <w:rsid w:val="003D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ru/tnved/code/2503009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ta.ru/tnved/code/2503001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ta.ru/tamdoc/14bn0044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Onur Öztürk</dc:creator>
  <cp:keywords/>
  <dc:description/>
  <cp:lastModifiedBy>Ahmet Onur Öztürk</cp:lastModifiedBy>
  <cp:revision>1</cp:revision>
  <dcterms:created xsi:type="dcterms:W3CDTF">2026-07-01T14:17:00Z</dcterms:created>
  <dcterms:modified xsi:type="dcterms:W3CDTF">2026-07-01T14:19:00Z</dcterms:modified>
</cp:coreProperties>
</file>